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D42C" w14:textId="03E4AE6E" w:rsidR="00B87960" w:rsidRPr="00B87960" w:rsidRDefault="00B87960" w:rsidP="00B87960">
      <w:pPr>
        <w:jc w:val="center"/>
        <w:rPr>
          <w:b/>
          <w:bCs/>
          <w:sz w:val="40"/>
          <w:szCs w:val="40"/>
        </w:rPr>
      </w:pPr>
      <w:r w:rsidRPr="00B87960">
        <w:rPr>
          <w:b/>
          <w:bCs/>
          <w:sz w:val="40"/>
          <w:szCs w:val="40"/>
        </w:rPr>
        <w:t xml:space="preserve">Special Educational Needs &amp; Disabilities (SEND) </w:t>
      </w:r>
      <w:r w:rsidRPr="00B87960">
        <w:rPr>
          <w:b/>
          <w:bCs/>
          <w:sz w:val="40"/>
          <w:szCs w:val="40"/>
        </w:rPr>
        <w:t>P</w:t>
      </w:r>
      <w:r w:rsidRPr="00B87960">
        <w:rPr>
          <w:b/>
          <w:bCs/>
          <w:sz w:val="40"/>
          <w:szCs w:val="40"/>
        </w:rPr>
        <w:t>olicy</w:t>
      </w:r>
    </w:p>
    <w:p w14:paraId="3B560A09" w14:textId="77777777" w:rsidR="00B87960" w:rsidRPr="00B87960" w:rsidRDefault="00B87960" w:rsidP="00B87960">
      <w:pPr>
        <w:jc w:val="center"/>
      </w:pPr>
      <w:r w:rsidRPr="00B87960">
        <w:t>Date Produced: August 2025</w:t>
      </w:r>
    </w:p>
    <w:p w14:paraId="6ECBC43F" w14:textId="77777777" w:rsidR="00B87960" w:rsidRPr="00B87960" w:rsidRDefault="00B87960" w:rsidP="00B87960">
      <w:pPr>
        <w:jc w:val="center"/>
      </w:pPr>
    </w:p>
    <w:p w14:paraId="1A34A1F2" w14:textId="77777777" w:rsidR="00B87960" w:rsidRPr="00B87960" w:rsidRDefault="00B87960" w:rsidP="00B87960">
      <w:pPr>
        <w:jc w:val="center"/>
      </w:pPr>
      <w:r w:rsidRPr="00B87960">
        <w:t>Review Date: September 2026</w:t>
      </w:r>
    </w:p>
    <w:p w14:paraId="70357A88" w14:textId="77777777" w:rsidR="00B87960" w:rsidRPr="00B87960" w:rsidRDefault="00B87960" w:rsidP="00B87960">
      <w:pPr>
        <w:jc w:val="center"/>
      </w:pPr>
    </w:p>
    <w:p w14:paraId="2250F9AC" w14:textId="4EAAA765" w:rsidR="00B87960" w:rsidRPr="00B87960" w:rsidRDefault="00B87960" w:rsidP="00B87960">
      <w:pPr>
        <w:jc w:val="center"/>
      </w:pPr>
      <w:r w:rsidRPr="00B87960">
        <w:t>Next Review Date: September 2027</w:t>
      </w:r>
    </w:p>
    <w:p w14:paraId="179E6CAC" w14:textId="77777777" w:rsidR="00B87960" w:rsidRDefault="00B87960" w:rsidP="00B87960">
      <w:pPr>
        <w:rPr>
          <w:b/>
          <w:bCs/>
        </w:rPr>
      </w:pPr>
    </w:p>
    <w:p w14:paraId="43F2A805" w14:textId="77777777" w:rsidR="00B87960" w:rsidRDefault="00B87960" w:rsidP="00B87960">
      <w:pPr>
        <w:rPr>
          <w:b/>
          <w:bCs/>
        </w:rPr>
      </w:pPr>
    </w:p>
    <w:p w14:paraId="4D3D65FA" w14:textId="77777777" w:rsidR="00B87960" w:rsidRDefault="00B87960" w:rsidP="00B87960">
      <w:pPr>
        <w:rPr>
          <w:b/>
          <w:bCs/>
        </w:rPr>
      </w:pPr>
    </w:p>
    <w:p w14:paraId="47BC45F2" w14:textId="77777777" w:rsidR="00B87960" w:rsidRDefault="00B87960" w:rsidP="00B87960">
      <w:pPr>
        <w:rPr>
          <w:b/>
          <w:bCs/>
        </w:rPr>
      </w:pPr>
    </w:p>
    <w:p w14:paraId="1448E5D2" w14:textId="77777777" w:rsidR="00B87960" w:rsidRDefault="00B87960" w:rsidP="00B87960">
      <w:pPr>
        <w:rPr>
          <w:b/>
          <w:bCs/>
        </w:rPr>
      </w:pPr>
    </w:p>
    <w:p w14:paraId="241DC345" w14:textId="77777777" w:rsidR="00B87960" w:rsidRDefault="00B87960" w:rsidP="00B87960">
      <w:pPr>
        <w:rPr>
          <w:b/>
          <w:bCs/>
        </w:rPr>
      </w:pPr>
    </w:p>
    <w:p w14:paraId="33733394" w14:textId="77777777" w:rsidR="00B87960" w:rsidRDefault="00B87960" w:rsidP="00B87960">
      <w:pPr>
        <w:rPr>
          <w:b/>
          <w:bCs/>
        </w:rPr>
      </w:pPr>
    </w:p>
    <w:p w14:paraId="25E285EF" w14:textId="77777777" w:rsidR="00B87960" w:rsidRDefault="00B87960" w:rsidP="00B87960">
      <w:pPr>
        <w:rPr>
          <w:b/>
          <w:bCs/>
        </w:rPr>
      </w:pPr>
    </w:p>
    <w:p w14:paraId="6A410442" w14:textId="77777777" w:rsidR="00B87960" w:rsidRDefault="00B87960" w:rsidP="00B87960">
      <w:pPr>
        <w:rPr>
          <w:b/>
          <w:bCs/>
        </w:rPr>
      </w:pPr>
    </w:p>
    <w:p w14:paraId="3C62E641" w14:textId="77777777" w:rsidR="00B87960" w:rsidRDefault="00B87960" w:rsidP="00B87960">
      <w:pPr>
        <w:rPr>
          <w:b/>
          <w:bCs/>
        </w:rPr>
      </w:pPr>
    </w:p>
    <w:p w14:paraId="50B68CE7" w14:textId="77777777" w:rsidR="00B87960" w:rsidRDefault="00B87960" w:rsidP="00B87960">
      <w:pPr>
        <w:rPr>
          <w:b/>
          <w:bCs/>
        </w:rPr>
      </w:pPr>
    </w:p>
    <w:p w14:paraId="73BF953D" w14:textId="39280E3A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1. Introduction</w:t>
      </w:r>
    </w:p>
    <w:p w14:paraId="369D8D1F" w14:textId="77777777" w:rsidR="00B87960" w:rsidRDefault="00B87960" w:rsidP="00B87960">
      <w:r>
        <w:t>Purpose: To set out the commitment to supporting pupils with SEND within the alternative provision setting.</w:t>
      </w:r>
    </w:p>
    <w:p w14:paraId="6B77D8A1" w14:textId="77777777" w:rsidR="00B87960" w:rsidRDefault="00B87960" w:rsidP="00B87960">
      <w:r>
        <w:t>Legal Framework:</w:t>
      </w:r>
    </w:p>
    <w:p w14:paraId="7AE99304" w14:textId="77777777" w:rsidR="00B87960" w:rsidRDefault="00B87960" w:rsidP="00B87960">
      <w:pPr>
        <w:pStyle w:val="ListParagraph"/>
        <w:numPr>
          <w:ilvl w:val="0"/>
          <w:numId w:val="1"/>
        </w:numPr>
      </w:pPr>
      <w:r>
        <w:t>Children and Families Act 2014</w:t>
      </w:r>
    </w:p>
    <w:p w14:paraId="144D780E" w14:textId="77777777" w:rsidR="00B87960" w:rsidRDefault="00B87960" w:rsidP="00B87960">
      <w:pPr>
        <w:pStyle w:val="ListParagraph"/>
        <w:numPr>
          <w:ilvl w:val="0"/>
          <w:numId w:val="1"/>
        </w:numPr>
      </w:pPr>
      <w:r>
        <w:t>SEND Code of Practice (2015)</w:t>
      </w:r>
    </w:p>
    <w:p w14:paraId="4F941330" w14:textId="77777777" w:rsidR="00B87960" w:rsidRDefault="00B87960" w:rsidP="00B87960">
      <w:pPr>
        <w:pStyle w:val="ListParagraph"/>
        <w:numPr>
          <w:ilvl w:val="0"/>
          <w:numId w:val="1"/>
        </w:numPr>
      </w:pPr>
      <w:r>
        <w:t>Equality Act 2010</w:t>
      </w:r>
    </w:p>
    <w:p w14:paraId="63F26EFB" w14:textId="77777777" w:rsidR="00B87960" w:rsidRDefault="00B87960" w:rsidP="00B87960">
      <w:pPr>
        <w:pStyle w:val="ListParagraph"/>
        <w:numPr>
          <w:ilvl w:val="0"/>
          <w:numId w:val="1"/>
        </w:numPr>
      </w:pPr>
      <w:r>
        <w:t>Education Act 1996</w:t>
      </w:r>
    </w:p>
    <w:p w14:paraId="05AE9666" w14:textId="77777777" w:rsidR="00B87960" w:rsidRDefault="00B87960" w:rsidP="00B87960">
      <w:pPr>
        <w:pStyle w:val="ListParagraph"/>
        <w:numPr>
          <w:ilvl w:val="0"/>
          <w:numId w:val="1"/>
        </w:numPr>
      </w:pPr>
      <w:r>
        <w:t>Alignment with the AP provider’s ethos and inclusive values</w:t>
      </w:r>
    </w:p>
    <w:p w14:paraId="15CC8B2B" w14:textId="77777777" w:rsidR="00B87960" w:rsidRDefault="00B87960" w:rsidP="00B87960"/>
    <w:p w14:paraId="6303A85E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2. Definition of SEND</w:t>
      </w:r>
    </w:p>
    <w:p w14:paraId="3D2B6D45" w14:textId="77777777" w:rsidR="00B87960" w:rsidRDefault="00B87960" w:rsidP="00B87960">
      <w:r>
        <w:lastRenderedPageBreak/>
        <w:t>Based on the SEND Code of Practice, SEND is defined as:</w:t>
      </w:r>
    </w:p>
    <w:p w14:paraId="4EC34A24" w14:textId="77777777" w:rsidR="00B87960" w:rsidRDefault="00B87960" w:rsidP="00B87960">
      <w:r>
        <w:t>"A child or young person has SEND if they have a learning difficulty or disability which calls for special educational provision to be made for them."</w:t>
      </w:r>
    </w:p>
    <w:p w14:paraId="611E277D" w14:textId="77777777" w:rsidR="00B87960" w:rsidRDefault="00B87960" w:rsidP="00B87960">
      <w:r>
        <w:t>Four broad areas of need:</w:t>
      </w:r>
    </w:p>
    <w:p w14:paraId="462A3AA0" w14:textId="77777777" w:rsidR="00B87960" w:rsidRDefault="00B87960" w:rsidP="00B87960">
      <w:pPr>
        <w:pStyle w:val="ListParagraph"/>
        <w:numPr>
          <w:ilvl w:val="0"/>
          <w:numId w:val="2"/>
        </w:numPr>
      </w:pPr>
      <w:r>
        <w:t>Communication and Interaction</w:t>
      </w:r>
    </w:p>
    <w:p w14:paraId="762C2570" w14:textId="77777777" w:rsidR="00B87960" w:rsidRDefault="00B87960" w:rsidP="00B87960">
      <w:pPr>
        <w:pStyle w:val="ListParagraph"/>
        <w:numPr>
          <w:ilvl w:val="0"/>
          <w:numId w:val="2"/>
        </w:numPr>
      </w:pPr>
      <w:r>
        <w:t>Cognition and Learning</w:t>
      </w:r>
    </w:p>
    <w:p w14:paraId="5A5780D6" w14:textId="77777777" w:rsidR="00B87960" w:rsidRDefault="00B87960" w:rsidP="00B87960">
      <w:pPr>
        <w:pStyle w:val="ListParagraph"/>
        <w:numPr>
          <w:ilvl w:val="0"/>
          <w:numId w:val="2"/>
        </w:numPr>
      </w:pPr>
      <w:r>
        <w:t>Social, Emotional and Mental Health (SEMH)</w:t>
      </w:r>
    </w:p>
    <w:p w14:paraId="2CA6EF05" w14:textId="77777777" w:rsidR="00B87960" w:rsidRDefault="00B87960" w:rsidP="00B87960">
      <w:pPr>
        <w:pStyle w:val="ListParagraph"/>
        <w:numPr>
          <w:ilvl w:val="0"/>
          <w:numId w:val="2"/>
        </w:numPr>
      </w:pPr>
      <w:r>
        <w:t>Sensory and/or Physical Needs</w:t>
      </w:r>
    </w:p>
    <w:p w14:paraId="1B2C5881" w14:textId="77777777" w:rsidR="00B87960" w:rsidRDefault="00B87960" w:rsidP="00B87960"/>
    <w:p w14:paraId="0F4BFD7F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3. Identification of SEND</w:t>
      </w:r>
    </w:p>
    <w:p w14:paraId="0A365457" w14:textId="77777777" w:rsidR="00B87960" w:rsidRDefault="00B87960" w:rsidP="00B87960">
      <w:pPr>
        <w:pStyle w:val="ListParagraph"/>
        <w:numPr>
          <w:ilvl w:val="0"/>
          <w:numId w:val="3"/>
        </w:numPr>
      </w:pPr>
      <w:r>
        <w:t>Procedures for early identification (baseline assessments, observations, referrals)</w:t>
      </w:r>
    </w:p>
    <w:p w14:paraId="14067E94" w14:textId="77777777" w:rsidR="00B87960" w:rsidRDefault="00B87960" w:rsidP="00B87960">
      <w:pPr>
        <w:pStyle w:val="ListParagraph"/>
        <w:numPr>
          <w:ilvl w:val="0"/>
          <w:numId w:val="3"/>
        </w:numPr>
      </w:pPr>
      <w:r>
        <w:t>Use of Education, Health and Care Plans (EHCPs) where applicable</w:t>
      </w:r>
    </w:p>
    <w:p w14:paraId="29F08B14" w14:textId="77777777" w:rsidR="00B87960" w:rsidRDefault="00B87960" w:rsidP="00B87960">
      <w:pPr>
        <w:pStyle w:val="ListParagraph"/>
        <w:numPr>
          <w:ilvl w:val="0"/>
          <w:numId w:val="3"/>
        </w:numPr>
      </w:pPr>
      <w:r>
        <w:t>Collaboration with mainstream schools, local authorities, and parents/carers during transition into AP</w:t>
      </w:r>
    </w:p>
    <w:p w14:paraId="0C1439D6" w14:textId="77777777" w:rsidR="00B87960" w:rsidRDefault="00B87960" w:rsidP="00B87960"/>
    <w:p w14:paraId="7EFB89B9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4. Graduated Approach to SEND Support</w:t>
      </w:r>
    </w:p>
    <w:p w14:paraId="253A7A49" w14:textId="77777777" w:rsidR="00B87960" w:rsidRDefault="00B87960" w:rsidP="00B87960">
      <w:r>
        <w:t>Following the Assess – Plan – Do – Review cycle:</w:t>
      </w:r>
    </w:p>
    <w:p w14:paraId="67242DB0" w14:textId="77777777" w:rsidR="00B87960" w:rsidRDefault="00B87960" w:rsidP="00B87960">
      <w:pPr>
        <w:pStyle w:val="ListParagraph"/>
        <w:numPr>
          <w:ilvl w:val="0"/>
          <w:numId w:val="4"/>
        </w:numPr>
      </w:pPr>
      <w:r>
        <w:t>Assess: Identify specific needs through observation, data, and referrals</w:t>
      </w:r>
    </w:p>
    <w:p w14:paraId="112FAF0F" w14:textId="77777777" w:rsidR="00B87960" w:rsidRDefault="00B87960" w:rsidP="00B87960">
      <w:pPr>
        <w:pStyle w:val="ListParagraph"/>
        <w:numPr>
          <w:ilvl w:val="0"/>
          <w:numId w:val="4"/>
        </w:numPr>
      </w:pPr>
      <w:r>
        <w:t>Plan: Design personalised support and interventions</w:t>
      </w:r>
    </w:p>
    <w:p w14:paraId="1FBF4931" w14:textId="77777777" w:rsidR="00B87960" w:rsidRDefault="00B87960" w:rsidP="00B87960">
      <w:pPr>
        <w:pStyle w:val="ListParagraph"/>
        <w:numPr>
          <w:ilvl w:val="0"/>
          <w:numId w:val="4"/>
        </w:numPr>
      </w:pPr>
      <w:r>
        <w:t>Do: Deliver the interventions</w:t>
      </w:r>
    </w:p>
    <w:p w14:paraId="0E39C228" w14:textId="7A6C171A" w:rsidR="00B87960" w:rsidRDefault="00B87960" w:rsidP="00B87960">
      <w:pPr>
        <w:pStyle w:val="ListParagraph"/>
        <w:numPr>
          <w:ilvl w:val="0"/>
          <w:numId w:val="4"/>
        </w:numPr>
      </w:pPr>
      <w:r>
        <w:t>Review: Monitor progress and adapt the plan</w:t>
      </w:r>
    </w:p>
    <w:p w14:paraId="58DA29D5" w14:textId="77777777" w:rsidR="00B87960" w:rsidRDefault="00B87960" w:rsidP="00B87960"/>
    <w:p w14:paraId="4483BE26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5. Partnership with Parents and Carers</w:t>
      </w:r>
    </w:p>
    <w:p w14:paraId="02D291C3" w14:textId="77777777" w:rsidR="00B87960" w:rsidRDefault="00B87960" w:rsidP="00B87960">
      <w:pPr>
        <w:pStyle w:val="ListParagraph"/>
        <w:numPr>
          <w:ilvl w:val="0"/>
          <w:numId w:val="5"/>
        </w:numPr>
      </w:pPr>
      <w:r>
        <w:t>Regular communication</w:t>
      </w:r>
    </w:p>
    <w:p w14:paraId="0F6E9693" w14:textId="77777777" w:rsidR="00B87960" w:rsidRDefault="00B87960" w:rsidP="00B87960">
      <w:pPr>
        <w:pStyle w:val="ListParagraph"/>
        <w:numPr>
          <w:ilvl w:val="0"/>
          <w:numId w:val="5"/>
        </w:numPr>
      </w:pPr>
      <w:r>
        <w:t>Inclusion in review meetings and support planning</w:t>
      </w:r>
    </w:p>
    <w:p w14:paraId="4D164919" w14:textId="77777777" w:rsidR="00B87960" w:rsidRDefault="00B87960" w:rsidP="00B87960">
      <w:pPr>
        <w:pStyle w:val="ListParagraph"/>
        <w:numPr>
          <w:ilvl w:val="0"/>
          <w:numId w:val="5"/>
        </w:numPr>
      </w:pPr>
      <w:r>
        <w:t>Access to support, guidance, and training where necessary</w:t>
      </w:r>
    </w:p>
    <w:p w14:paraId="6AFF15FA" w14:textId="77777777" w:rsidR="00B87960" w:rsidRDefault="00B87960" w:rsidP="00B87960"/>
    <w:p w14:paraId="56FB061D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6. Pupil Voice</w:t>
      </w:r>
    </w:p>
    <w:p w14:paraId="1873FBB8" w14:textId="77777777" w:rsidR="00B87960" w:rsidRDefault="00B87960" w:rsidP="00B87960">
      <w:pPr>
        <w:pStyle w:val="ListParagraph"/>
        <w:numPr>
          <w:ilvl w:val="0"/>
          <w:numId w:val="6"/>
        </w:numPr>
      </w:pPr>
      <w:r>
        <w:t>Involving learners in their own support planning</w:t>
      </w:r>
    </w:p>
    <w:p w14:paraId="0D9A0427" w14:textId="77777777" w:rsidR="00B87960" w:rsidRDefault="00B87960" w:rsidP="00B87960">
      <w:pPr>
        <w:pStyle w:val="ListParagraph"/>
        <w:numPr>
          <w:ilvl w:val="0"/>
          <w:numId w:val="6"/>
        </w:numPr>
      </w:pPr>
      <w:r>
        <w:t>Ensuring pupils can express views and preferences in ways suited to their communication style</w:t>
      </w:r>
    </w:p>
    <w:p w14:paraId="689DF7B3" w14:textId="77777777" w:rsidR="00B87960" w:rsidRDefault="00B87960" w:rsidP="00B87960"/>
    <w:p w14:paraId="0F347C53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7. Support and Intervention</w:t>
      </w:r>
    </w:p>
    <w:p w14:paraId="6461EC54" w14:textId="77777777" w:rsidR="00B87960" w:rsidRDefault="00B87960" w:rsidP="00B87960">
      <w:pPr>
        <w:pStyle w:val="ListParagraph"/>
        <w:numPr>
          <w:ilvl w:val="0"/>
          <w:numId w:val="7"/>
        </w:numPr>
      </w:pPr>
      <w:r>
        <w:t>SEMH support, therapeutic input (e.g., counselling, CBT)</w:t>
      </w:r>
    </w:p>
    <w:p w14:paraId="6C32D86A" w14:textId="77777777" w:rsidR="00B87960" w:rsidRDefault="00B87960" w:rsidP="00B87960">
      <w:pPr>
        <w:pStyle w:val="ListParagraph"/>
        <w:numPr>
          <w:ilvl w:val="0"/>
          <w:numId w:val="7"/>
        </w:numPr>
      </w:pPr>
      <w:r>
        <w:t>Tailored academic interventions</w:t>
      </w:r>
    </w:p>
    <w:p w14:paraId="62651792" w14:textId="77777777" w:rsidR="00B87960" w:rsidRDefault="00B87960" w:rsidP="00B87960">
      <w:pPr>
        <w:pStyle w:val="ListParagraph"/>
        <w:numPr>
          <w:ilvl w:val="0"/>
          <w:numId w:val="7"/>
        </w:numPr>
      </w:pPr>
      <w:r>
        <w:t>Small group or 1:1 teaching</w:t>
      </w:r>
    </w:p>
    <w:p w14:paraId="2DF8456D" w14:textId="77777777" w:rsidR="00B87960" w:rsidRDefault="00B87960" w:rsidP="00B87960">
      <w:pPr>
        <w:pStyle w:val="ListParagraph"/>
        <w:numPr>
          <w:ilvl w:val="0"/>
          <w:numId w:val="7"/>
        </w:numPr>
      </w:pPr>
      <w:r>
        <w:t>Use of assistive technology</w:t>
      </w:r>
    </w:p>
    <w:p w14:paraId="23580AFD" w14:textId="77777777" w:rsidR="00B87960" w:rsidRDefault="00B87960" w:rsidP="00B87960">
      <w:pPr>
        <w:pStyle w:val="ListParagraph"/>
        <w:numPr>
          <w:ilvl w:val="0"/>
          <w:numId w:val="7"/>
        </w:numPr>
      </w:pPr>
      <w:r>
        <w:t>Specialist staff (e.g., Speech and Language Therapists, Educational Psychologists)</w:t>
      </w:r>
    </w:p>
    <w:p w14:paraId="03AA4DED" w14:textId="77777777" w:rsidR="00B87960" w:rsidRDefault="00B87960" w:rsidP="00B87960"/>
    <w:p w14:paraId="377C318C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8. Staff Training and Development</w:t>
      </w:r>
    </w:p>
    <w:p w14:paraId="4C7397DF" w14:textId="77777777" w:rsidR="00B87960" w:rsidRDefault="00B87960" w:rsidP="00B87960">
      <w:pPr>
        <w:pStyle w:val="ListParagraph"/>
        <w:numPr>
          <w:ilvl w:val="0"/>
          <w:numId w:val="8"/>
        </w:numPr>
      </w:pPr>
      <w:r>
        <w:t>Ongoing CPD in SEND awareness and strategies</w:t>
      </w:r>
    </w:p>
    <w:p w14:paraId="5E4E0B81" w14:textId="77777777" w:rsidR="00B87960" w:rsidRDefault="00B87960" w:rsidP="00B87960">
      <w:pPr>
        <w:pStyle w:val="ListParagraph"/>
        <w:numPr>
          <w:ilvl w:val="0"/>
          <w:numId w:val="8"/>
        </w:numPr>
      </w:pPr>
      <w:r>
        <w:t>Training on specific needs (e.g., autism, ADHD, trauma-informed practice)</w:t>
      </w:r>
    </w:p>
    <w:p w14:paraId="731C46E0" w14:textId="77777777" w:rsidR="00B87960" w:rsidRDefault="00B87960" w:rsidP="00B87960"/>
    <w:p w14:paraId="1ED7F89D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9. Working with External Agencies</w:t>
      </w:r>
    </w:p>
    <w:p w14:paraId="08F9C3FE" w14:textId="77777777" w:rsidR="00B87960" w:rsidRDefault="00B87960" w:rsidP="00B87960">
      <w:pPr>
        <w:pStyle w:val="ListParagraph"/>
        <w:numPr>
          <w:ilvl w:val="0"/>
          <w:numId w:val="9"/>
        </w:numPr>
      </w:pPr>
      <w:r>
        <w:t>Referrals to and partnerships with:</w:t>
      </w:r>
    </w:p>
    <w:p w14:paraId="712AE59D" w14:textId="77777777" w:rsidR="00B87960" w:rsidRDefault="00B87960" w:rsidP="00B87960">
      <w:pPr>
        <w:pStyle w:val="ListParagraph"/>
        <w:numPr>
          <w:ilvl w:val="0"/>
          <w:numId w:val="9"/>
        </w:numPr>
      </w:pPr>
      <w:r>
        <w:t>CAMHS</w:t>
      </w:r>
    </w:p>
    <w:p w14:paraId="40B9F539" w14:textId="77777777" w:rsidR="00B87960" w:rsidRDefault="00B87960" w:rsidP="00B87960">
      <w:pPr>
        <w:pStyle w:val="ListParagraph"/>
        <w:numPr>
          <w:ilvl w:val="0"/>
          <w:numId w:val="9"/>
        </w:numPr>
      </w:pPr>
      <w:r>
        <w:t>Educational Psychology Service</w:t>
      </w:r>
    </w:p>
    <w:p w14:paraId="04A1A90C" w14:textId="77777777" w:rsidR="00B87960" w:rsidRDefault="00B87960" w:rsidP="00B87960">
      <w:pPr>
        <w:pStyle w:val="ListParagraph"/>
        <w:numPr>
          <w:ilvl w:val="0"/>
          <w:numId w:val="9"/>
        </w:numPr>
      </w:pPr>
      <w:r>
        <w:t>Speech and Language Therapy</w:t>
      </w:r>
    </w:p>
    <w:p w14:paraId="2765B54A" w14:textId="77777777" w:rsidR="00B87960" w:rsidRDefault="00B87960" w:rsidP="00B87960">
      <w:pPr>
        <w:pStyle w:val="ListParagraph"/>
        <w:numPr>
          <w:ilvl w:val="0"/>
          <w:numId w:val="9"/>
        </w:numPr>
      </w:pPr>
      <w:r>
        <w:t>Occupational Therapy</w:t>
      </w:r>
    </w:p>
    <w:p w14:paraId="0FD484F2" w14:textId="77777777" w:rsidR="00B87960" w:rsidRDefault="00B87960" w:rsidP="00B87960">
      <w:pPr>
        <w:pStyle w:val="ListParagraph"/>
        <w:numPr>
          <w:ilvl w:val="0"/>
          <w:numId w:val="9"/>
        </w:numPr>
      </w:pPr>
      <w:r>
        <w:t>Social Care</w:t>
      </w:r>
    </w:p>
    <w:p w14:paraId="0EF097BD" w14:textId="77777777" w:rsidR="00B87960" w:rsidRDefault="00B87960" w:rsidP="00B87960">
      <w:pPr>
        <w:pStyle w:val="ListParagraph"/>
        <w:numPr>
          <w:ilvl w:val="0"/>
          <w:numId w:val="9"/>
        </w:numPr>
      </w:pPr>
      <w:r>
        <w:t>Ensuring coordinated multi-agency planning (especially for EHCP pupils)</w:t>
      </w:r>
    </w:p>
    <w:p w14:paraId="3EF9DD77" w14:textId="77777777" w:rsidR="00B87960" w:rsidRDefault="00B87960" w:rsidP="00B87960"/>
    <w:p w14:paraId="12B1F3BA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10. Transition Planning</w:t>
      </w:r>
    </w:p>
    <w:p w14:paraId="5B2F9F59" w14:textId="77777777" w:rsidR="00B87960" w:rsidRDefault="00B87960" w:rsidP="00B87960">
      <w:pPr>
        <w:pStyle w:val="ListParagraph"/>
        <w:numPr>
          <w:ilvl w:val="0"/>
          <w:numId w:val="10"/>
        </w:numPr>
      </w:pPr>
      <w:r>
        <w:t>Supporting pupils returning to mainstream or moving to further education or employment</w:t>
      </w:r>
    </w:p>
    <w:p w14:paraId="393E47FE" w14:textId="77777777" w:rsidR="00B87960" w:rsidRDefault="00B87960" w:rsidP="00B87960">
      <w:pPr>
        <w:pStyle w:val="ListParagraph"/>
        <w:numPr>
          <w:ilvl w:val="0"/>
          <w:numId w:val="10"/>
        </w:numPr>
      </w:pPr>
      <w:r>
        <w:t>Ensuring SEND needs are considered in all transitions</w:t>
      </w:r>
    </w:p>
    <w:p w14:paraId="255CAD19" w14:textId="77777777" w:rsidR="00B87960" w:rsidRDefault="00B87960" w:rsidP="00B87960"/>
    <w:p w14:paraId="6F69590B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t>11. Monitoring and Evaluation</w:t>
      </w:r>
    </w:p>
    <w:p w14:paraId="407CE79F" w14:textId="77777777" w:rsidR="00B87960" w:rsidRDefault="00B87960" w:rsidP="00B87960">
      <w:pPr>
        <w:pStyle w:val="ListParagraph"/>
        <w:numPr>
          <w:ilvl w:val="0"/>
          <w:numId w:val="11"/>
        </w:numPr>
      </w:pPr>
      <w:r>
        <w:t>Regular review of SEND outcomes</w:t>
      </w:r>
    </w:p>
    <w:p w14:paraId="19B5C9A6" w14:textId="77777777" w:rsidR="00B87960" w:rsidRDefault="00B87960" w:rsidP="00B87960">
      <w:pPr>
        <w:pStyle w:val="ListParagraph"/>
        <w:numPr>
          <w:ilvl w:val="0"/>
          <w:numId w:val="11"/>
        </w:numPr>
      </w:pPr>
      <w:r>
        <w:t>Reporting to governors/trustees</w:t>
      </w:r>
    </w:p>
    <w:p w14:paraId="67A363C0" w14:textId="77777777" w:rsidR="00B87960" w:rsidRDefault="00B87960" w:rsidP="00B87960">
      <w:pPr>
        <w:pStyle w:val="ListParagraph"/>
        <w:numPr>
          <w:ilvl w:val="0"/>
          <w:numId w:val="11"/>
        </w:numPr>
      </w:pPr>
      <w:r>
        <w:t>Quality assurance through audits or SEND reviews</w:t>
      </w:r>
    </w:p>
    <w:p w14:paraId="02369D30" w14:textId="77777777" w:rsidR="00B87960" w:rsidRDefault="00B87960" w:rsidP="00B87960"/>
    <w:p w14:paraId="0438E527" w14:textId="77777777" w:rsidR="00B87960" w:rsidRPr="00B87960" w:rsidRDefault="00B87960" w:rsidP="00B87960">
      <w:pPr>
        <w:rPr>
          <w:b/>
          <w:bCs/>
        </w:rPr>
      </w:pPr>
      <w:r w:rsidRPr="00B87960">
        <w:rPr>
          <w:b/>
          <w:bCs/>
        </w:rPr>
        <w:lastRenderedPageBreak/>
        <w:t>12. Complaints Procedure</w:t>
      </w:r>
    </w:p>
    <w:p w14:paraId="69B93144" w14:textId="5B94CD63" w:rsidR="00B87960" w:rsidRDefault="00B87960" w:rsidP="00B87960">
      <w:r>
        <w:t>Clear process for resolving concerns related to SEND support</w:t>
      </w:r>
    </w:p>
    <w:sectPr w:rsidR="00B87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60DB"/>
    <w:multiLevelType w:val="hybridMultilevel"/>
    <w:tmpl w:val="D86A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276C"/>
    <w:multiLevelType w:val="hybridMultilevel"/>
    <w:tmpl w:val="0C8A6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4115E"/>
    <w:multiLevelType w:val="hybridMultilevel"/>
    <w:tmpl w:val="EDDE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2B20"/>
    <w:multiLevelType w:val="hybridMultilevel"/>
    <w:tmpl w:val="431E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62670"/>
    <w:multiLevelType w:val="hybridMultilevel"/>
    <w:tmpl w:val="BB30D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94E8C"/>
    <w:multiLevelType w:val="hybridMultilevel"/>
    <w:tmpl w:val="508A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60B92"/>
    <w:multiLevelType w:val="hybridMultilevel"/>
    <w:tmpl w:val="25406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C5241"/>
    <w:multiLevelType w:val="hybridMultilevel"/>
    <w:tmpl w:val="8702E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A3F86"/>
    <w:multiLevelType w:val="hybridMultilevel"/>
    <w:tmpl w:val="922A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712B4"/>
    <w:multiLevelType w:val="hybridMultilevel"/>
    <w:tmpl w:val="77D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D0802"/>
    <w:multiLevelType w:val="hybridMultilevel"/>
    <w:tmpl w:val="BB96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805462">
    <w:abstractNumId w:val="6"/>
  </w:num>
  <w:num w:numId="2" w16cid:durableId="25763003">
    <w:abstractNumId w:val="5"/>
  </w:num>
  <w:num w:numId="3" w16cid:durableId="1714184831">
    <w:abstractNumId w:val="7"/>
  </w:num>
  <w:num w:numId="4" w16cid:durableId="857040104">
    <w:abstractNumId w:val="4"/>
  </w:num>
  <w:num w:numId="5" w16cid:durableId="168761436">
    <w:abstractNumId w:val="1"/>
  </w:num>
  <w:num w:numId="6" w16cid:durableId="1449542963">
    <w:abstractNumId w:val="8"/>
  </w:num>
  <w:num w:numId="7" w16cid:durableId="166022872">
    <w:abstractNumId w:val="9"/>
  </w:num>
  <w:num w:numId="8" w16cid:durableId="894583960">
    <w:abstractNumId w:val="3"/>
  </w:num>
  <w:num w:numId="9" w16cid:durableId="1606959413">
    <w:abstractNumId w:val="2"/>
  </w:num>
  <w:num w:numId="10" w16cid:durableId="165678046">
    <w:abstractNumId w:val="10"/>
  </w:num>
  <w:num w:numId="11" w16cid:durableId="140098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60"/>
    <w:rsid w:val="0007666E"/>
    <w:rsid w:val="00B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50DF"/>
  <w15:chartTrackingRefBased/>
  <w15:docId w15:val="{1F91B6EC-3898-4EC1-B042-72EAD2D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68444A427644DA91B277473D86818" ma:contentTypeVersion="16" ma:contentTypeDescription="Create a new document." ma:contentTypeScope="" ma:versionID="b7564f30780951edfca752e40b0d5f09">
  <xsd:schema xmlns:xsd="http://www.w3.org/2001/XMLSchema" xmlns:xs="http://www.w3.org/2001/XMLSchema" xmlns:p="http://schemas.microsoft.com/office/2006/metadata/properties" xmlns:ns3="c889df72-60e3-4d00-9d99-40e239be885c" xmlns:ns4="e183f049-b0e5-4c05-a625-b2ac54784dd9" targetNamespace="http://schemas.microsoft.com/office/2006/metadata/properties" ma:root="true" ma:fieldsID="b4e48d098cbc1b18d97ffd9a7e4d1412" ns3:_="" ns4:_="">
    <xsd:import namespace="c889df72-60e3-4d00-9d99-40e239be885c"/>
    <xsd:import namespace="e183f049-b0e5-4c05-a625-b2ac54784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9df72-60e3-4d00-9d99-40e239be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f049-b0e5-4c05-a625-b2ac5478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9df72-60e3-4d00-9d99-40e239be885c" xsi:nil="true"/>
  </documentManagement>
</p:properties>
</file>

<file path=customXml/itemProps1.xml><?xml version="1.0" encoding="utf-8"?>
<ds:datastoreItem xmlns:ds="http://schemas.openxmlformats.org/officeDocument/2006/customXml" ds:itemID="{FE0F2350-685D-4A08-BD35-BD253C8AC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9df72-60e3-4d00-9d99-40e239be885c"/>
    <ds:schemaRef ds:uri="e183f049-b0e5-4c05-a625-b2ac547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5E476-CCA7-445C-9922-8D53C09C4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393D2-F7F3-4187-8E17-780CD55A5431}">
  <ds:schemaRefs>
    <ds:schemaRef ds:uri="http://purl.org/dc/terms/"/>
    <ds:schemaRef ds:uri="c889df72-60e3-4d00-9d99-40e239be885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183f049-b0e5-4c05-a625-b2ac54784dd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Bailey-Lewis</dc:creator>
  <cp:keywords/>
  <dc:description/>
  <cp:lastModifiedBy>Nicole Bailey-Lewis</cp:lastModifiedBy>
  <cp:revision>1</cp:revision>
  <dcterms:created xsi:type="dcterms:W3CDTF">2025-09-23T10:05:00Z</dcterms:created>
  <dcterms:modified xsi:type="dcterms:W3CDTF">2025-09-23T10:17:00Z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0x0101002C168444A427644DA91B277473D86818</vt:lpwstr>
  </property>
</Properties>
</file>